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6C2EE" w14:textId="77777777" w:rsidR="007526E2" w:rsidRDefault="007526E2" w:rsidP="007526E2">
      <w:pPr>
        <w:keepLines/>
        <w:spacing w:after="0" w:line="240" w:lineRule="auto"/>
        <w:jc w:val="center"/>
        <w:rPr>
          <w:rFonts w:ascii="Calibri" w:eastAsia="Times New Roman" w:hAnsi="Calibri" w:cs="Times New Roman"/>
          <w:b/>
          <w:sz w:val="36"/>
          <w:szCs w:val="36"/>
          <w:u w:val="single"/>
        </w:rPr>
      </w:pPr>
      <w:r w:rsidRPr="00E012DC">
        <w:rPr>
          <w:rFonts w:ascii="Calibri" w:eastAsia="Times New Roman" w:hAnsi="Calibri" w:cs="Times New Roman"/>
          <w:b/>
          <w:sz w:val="36"/>
          <w:szCs w:val="36"/>
          <w:u w:val="single"/>
        </w:rPr>
        <w:t>Childcare Fees</w:t>
      </w:r>
    </w:p>
    <w:p w14:paraId="52A0FE99" w14:textId="77777777" w:rsidR="007526E2" w:rsidRDefault="007526E2" w:rsidP="007526E2">
      <w:pPr>
        <w:keepLines/>
        <w:spacing w:after="0" w:line="240" w:lineRule="auto"/>
        <w:jc w:val="center"/>
        <w:rPr>
          <w:rFonts w:ascii="Calibri" w:eastAsia="Times New Roman" w:hAnsi="Calibri" w:cs="Times New Roman"/>
          <w:b/>
          <w:sz w:val="36"/>
          <w:szCs w:val="36"/>
          <w:u w:val="single"/>
        </w:rPr>
      </w:pPr>
    </w:p>
    <w:p w14:paraId="05542122" w14:textId="77777777" w:rsidR="007526E2" w:rsidRDefault="007526E2" w:rsidP="007526E2">
      <w:pPr>
        <w:keepLines/>
        <w:spacing w:after="0" w:line="240" w:lineRule="auto"/>
        <w:jc w:val="center"/>
        <w:rPr>
          <w:rFonts w:ascii="Calibri" w:eastAsia="Times New Roman" w:hAnsi="Calibri" w:cs="Times New Roman"/>
          <w:bCs/>
          <w:sz w:val="28"/>
          <w:szCs w:val="28"/>
        </w:rPr>
      </w:pPr>
      <w:r w:rsidRPr="00740471">
        <w:rPr>
          <w:rFonts w:ascii="Calibri" w:eastAsia="Times New Roman" w:hAnsi="Calibri" w:cs="Times New Roman"/>
          <w:bCs/>
          <w:sz w:val="28"/>
          <w:szCs w:val="28"/>
        </w:rPr>
        <w:t>Each room is charged</w:t>
      </w:r>
      <w:r>
        <w:rPr>
          <w:rFonts w:ascii="Calibri" w:eastAsia="Times New Roman" w:hAnsi="Calibri" w:cs="Times New Roman"/>
          <w:bCs/>
          <w:sz w:val="28"/>
          <w:szCs w:val="28"/>
        </w:rPr>
        <w:t xml:space="preserve"> by the hourly rate that is listed below. Booked sessions and extra sessions need to be agreed by the manager prior. </w:t>
      </w:r>
    </w:p>
    <w:p w14:paraId="0787B7E6" w14:textId="77777777" w:rsidR="007526E2" w:rsidRDefault="007526E2" w:rsidP="007526E2">
      <w:pPr>
        <w:keepLines/>
        <w:spacing w:after="0" w:line="240" w:lineRule="auto"/>
        <w:jc w:val="center"/>
        <w:rPr>
          <w:rFonts w:ascii="Calibri" w:eastAsia="Times New Roman" w:hAnsi="Calibri" w:cs="Times New Roman"/>
          <w:bCs/>
          <w:sz w:val="28"/>
          <w:szCs w:val="28"/>
        </w:rPr>
      </w:pPr>
      <w:r>
        <w:rPr>
          <w:rFonts w:ascii="Calibri" w:eastAsia="Times New Roman" w:hAnsi="Calibri" w:cs="Times New Roman"/>
          <w:bCs/>
          <w:sz w:val="28"/>
          <w:szCs w:val="28"/>
        </w:rPr>
        <w:t xml:space="preserve">We try to be as flexible and accommodating as possible meaning as long as the sessions are booked on the hour, half hour, quarter to or quarter past and it suits the room, it will be ok’d. </w:t>
      </w:r>
    </w:p>
    <w:p w14:paraId="7CA69BE9" w14:textId="77777777" w:rsidR="007526E2" w:rsidRDefault="007526E2" w:rsidP="007526E2">
      <w:pPr>
        <w:keepLines/>
        <w:spacing w:after="0" w:line="240" w:lineRule="auto"/>
        <w:jc w:val="center"/>
        <w:rPr>
          <w:rFonts w:ascii="Calibri" w:eastAsia="Times New Roman" w:hAnsi="Calibri" w:cs="Times New Roman"/>
          <w:bCs/>
          <w:sz w:val="28"/>
          <w:szCs w:val="28"/>
        </w:rPr>
      </w:pPr>
      <w:r>
        <w:rPr>
          <w:rFonts w:ascii="Calibri" w:eastAsia="Times New Roman" w:hAnsi="Calibri" w:cs="Times New Roman"/>
          <w:bCs/>
          <w:sz w:val="28"/>
          <w:szCs w:val="28"/>
        </w:rPr>
        <w:t xml:space="preserve">We can’t offer flexi hours meaning sessions that are booked will be regular sessions- these can’t change weekly. </w:t>
      </w:r>
    </w:p>
    <w:p w14:paraId="1EB8440A" w14:textId="77777777" w:rsidR="007526E2" w:rsidRPr="00740471" w:rsidRDefault="007526E2" w:rsidP="007526E2">
      <w:pPr>
        <w:keepLines/>
        <w:spacing w:after="0" w:line="240" w:lineRule="auto"/>
        <w:jc w:val="center"/>
        <w:rPr>
          <w:rFonts w:ascii="Calibri" w:eastAsia="Times New Roman" w:hAnsi="Calibri" w:cs="Times New Roman"/>
          <w:bCs/>
          <w:sz w:val="28"/>
          <w:szCs w:val="28"/>
        </w:rPr>
      </w:pPr>
      <w:r>
        <w:rPr>
          <w:rFonts w:ascii="Calibri" w:eastAsia="Times New Roman" w:hAnsi="Calibri" w:cs="Times New Roman"/>
          <w:bCs/>
          <w:sz w:val="28"/>
          <w:szCs w:val="28"/>
        </w:rPr>
        <w:t xml:space="preserve">If a permanent change is needed, please email the manager with the proposed changes. If agreed we will let you know when the change can start from.  </w:t>
      </w:r>
    </w:p>
    <w:p w14:paraId="1E16F9FE" w14:textId="77777777" w:rsidR="007526E2" w:rsidRDefault="007526E2" w:rsidP="007526E2">
      <w:pPr>
        <w:keepLines/>
        <w:spacing w:after="0" w:line="240" w:lineRule="auto"/>
        <w:jc w:val="center"/>
        <w:rPr>
          <w:rFonts w:ascii="Calibri" w:eastAsia="Times New Roman" w:hAnsi="Calibri" w:cs="Times New Roman"/>
          <w:b/>
          <w:sz w:val="36"/>
          <w:szCs w:val="36"/>
          <w:u w:val="single"/>
        </w:rPr>
      </w:pPr>
    </w:p>
    <w:tbl>
      <w:tblPr>
        <w:tblStyle w:val="TableGrid"/>
        <w:tblpPr w:leftFromText="180" w:rightFromText="180" w:vertAnchor="text" w:tblpY="125"/>
        <w:tblW w:w="9296" w:type="dxa"/>
        <w:tblLook w:val="04A0" w:firstRow="1" w:lastRow="0" w:firstColumn="1" w:lastColumn="0" w:noHBand="0" w:noVBand="1"/>
      </w:tblPr>
      <w:tblGrid>
        <w:gridCol w:w="2324"/>
        <w:gridCol w:w="2324"/>
        <w:gridCol w:w="2324"/>
        <w:gridCol w:w="2324"/>
      </w:tblGrid>
      <w:tr w:rsidR="007526E2" w14:paraId="1C4F7EC2" w14:textId="77777777" w:rsidTr="00151AA6">
        <w:trPr>
          <w:trHeight w:val="888"/>
        </w:trPr>
        <w:tc>
          <w:tcPr>
            <w:tcW w:w="2324" w:type="dxa"/>
          </w:tcPr>
          <w:p w14:paraId="72814E40" w14:textId="77777777" w:rsidR="007526E2" w:rsidRPr="00740471" w:rsidRDefault="007526E2" w:rsidP="00151AA6">
            <w:pPr>
              <w:keepLines/>
              <w:rPr>
                <w:rFonts w:ascii="Calibri" w:hAnsi="Calibri"/>
                <w:b/>
                <w:bCs/>
                <w:sz w:val="24"/>
                <w:szCs w:val="24"/>
              </w:rPr>
            </w:pPr>
            <w:r w:rsidRPr="00740471">
              <w:rPr>
                <w:rFonts w:ascii="Calibri" w:hAnsi="Calibri"/>
                <w:b/>
                <w:bCs/>
                <w:sz w:val="24"/>
                <w:szCs w:val="24"/>
              </w:rPr>
              <w:t>Rooms</w:t>
            </w:r>
          </w:p>
        </w:tc>
        <w:tc>
          <w:tcPr>
            <w:tcW w:w="2324" w:type="dxa"/>
          </w:tcPr>
          <w:p w14:paraId="65A3EA4E" w14:textId="77777777" w:rsidR="007526E2" w:rsidRPr="00740471" w:rsidRDefault="007526E2" w:rsidP="00151AA6">
            <w:pPr>
              <w:keepLines/>
              <w:rPr>
                <w:rFonts w:ascii="Calibri" w:hAnsi="Calibri"/>
                <w:b/>
                <w:bCs/>
                <w:sz w:val="24"/>
                <w:szCs w:val="24"/>
              </w:rPr>
            </w:pPr>
            <w:r w:rsidRPr="00740471">
              <w:rPr>
                <w:rFonts w:ascii="Calibri" w:hAnsi="Calibri"/>
                <w:b/>
                <w:bCs/>
                <w:sz w:val="24"/>
                <w:szCs w:val="24"/>
              </w:rPr>
              <w:t>0-2</w:t>
            </w:r>
          </w:p>
          <w:p w14:paraId="5C609251" w14:textId="77777777" w:rsidR="007526E2" w:rsidRPr="00740471" w:rsidRDefault="007526E2" w:rsidP="00151AA6">
            <w:pPr>
              <w:keepLines/>
              <w:rPr>
                <w:rFonts w:ascii="Calibri" w:hAnsi="Calibri"/>
                <w:b/>
                <w:bCs/>
                <w:sz w:val="24"/>
                <w:szCs w:val="24"/>
              </w:rPr>
            </w:pPr>
            <w:r w:rsidRPr="00740471">
              <w:rPr>
                <w:rFonts w:ascii="Calibri" w:hAnsi="Calibri"/>
                <w:b/>
                <w:bCs/>
                <w:sz w:val="24"/>
                <w:szCs w:val="24"/>
              </w:rPr>
              <w:t>Baby room</w:t>
            </w:r>
          </w:p>
        </w:tc>
        <w:tc>
          <w:tcPr>
            <w:tcW w:w="2324" w:type="dxa"/>
          </w:tcPr>
          <w:p w14:paraId="7FDA2169" w14:textId="77777777" w:rsidR="007526E2" w:rsidRPr="00740471" w:rsidRDefault="007526E2" w:rsidP="00151AA6">
            <w:pPr>
              <w:keepLines/>
              <w:rPr>
                <w:rFonts w:ascii="Calibri" w:hAnsi="Calibri"/>
                <w:b/>
                <w:bCs/>
                <w:sz w:val="24"/>
                <w:szCs w:val="24"/>
              </w:rPr>
            </w:pPr>
            <w:r w:rsidRPr="00740471">
              <w:rPr>
                <w:rFonts w:ascii="Calibri" w:hAnsi="Calibri"/>
                <w:b/>
                <w:bCs/>
                <w:sz w:val="24"/>
                <w:szCs w:val="24"/>
              </w:rPr>
              <w:t>2–3-year-old</w:t>
            </w:r>
          </w:p>
          <w:p w14:paraId="6E40C03D" w14:textId="77777777" w:rsidR="007526E2" w:rsidRPr="00740471" w:rsidRDefault="007526E2" w:rsidP="00151AA6">
            <w:pPr>
              <w:keepLines/>
              <w:rPr>
                <w:rFonts w:ascii="Calibri" w:hAnsi="Calibri"/>
                <w:b/>
                <w:bCs/>
                <w:sz w:val="24"/>
                <w:szCs w:val="24"/>
              </w:rPr>
            </w:pPr>
            <w:r w:rsidRPr="00740471">
              <w:rPr>
                <w:rFonts w:ascii="Calibri" w:hAnsi="Calibri"/>
                <w:b/>
                <w:bCs/>
                <w:sz w:val="24"/>
                <w:szCs w:val="24"/>
              </w:rPr>
              <w:t>Tweenie room or Rising Stars</w:t>
            </w:r>
          </w:p>
        </w:tc>
        <w:tc>
          <w:tcPr>
            <w:tcW w:w="2324" w:type="dxa"/>
          </w:tcPr>
          <w:p w14:paraId="451BD12E" w14:textId="77777777" w:rsidR="007526E2" w:rsidRPr="00740471" w:rsidRDefault="007526E2" w:rsidP="00151AA6">
            <w:pPr>
              <w:keepLines/>
              <w:rPr>
                <w:rFonts w:ascii="Calibri" w:hAnsi="Calibri"/>
                <w:b/>
                <w:bCs/>
                <w:sz w:val="24"/>
                <w:szCs w:val="24"/>
              </w:rPr>
            </w:pPr>
            <w:r w:rsidRPr="00740471">
              <w:rPr>
                <w:rFonts w:ascii="Calibri" w:hAnsi="Calibri"/>
                <w:b/>
                <w:bCs/>
                <w:sz w:val="24"/>
                <w:szCs w:val="24"/>
              </w:rPr>
              <w:t>3-4</w:t>
            </w:r>
          </w:p>
          <w:p w14:paraId="5734B6A3" w14:textId="77777777" w:rsidR="007526E2" w:rsidRPr="00740471" w:rsidRDefault="007526E2" w:rsidP="00151AA6">
            <w:pPr>
              <w:keepLines/>
              <w:rPr>
                <w:rFonts w:ascii="Calibri" w:hAnsi="Calibri"/>
                <w:b/>
                <w:bCs/>
                <w:sz w:val="24"/>
                <w:szCs w:val="24"/>
              </w:rPr>
            </w:pPr>
            <w:r w:rsidRPr="00740471">
              <w:rPr>
                <w:rFonts w:ascii="Calibri" w:hAnsi="Calibri"/>
                <w:b/>
                <w:bCs/>
                <w:sz w:val="24"/>
                <w:szCs w:val="24"/>
              </w:rPr>
              <w:t>Rising Stars or Pre-School</w:t>
            </w:r>
          </w:p>
        </w:tc>
      </w:tr>
      <w:tr w:rsidR="007526E2" w14:paraId="1F9A6FE1" w14:textId="77777777" w:rsidTr="00151AA6">
        <w:trPr>
          <w:trHeight w:val="888"/>
        </w:trPr>
        <w:tc>
          <w:tcPr>
            <w:tcW w:w="2324" w:type="dxa"/>
          </w:tcPr>
          <w:p w14:paraId="30BE8F66" w14:textId="77777777" w:rsidR="007526E2" w:rsidRPr="00740471" w:rsidRDefault="007526E2" w:rsidP="00151AA6">
            <w:pPr>
              <w:keepLines/>
              <w:rPr>
                <w:rFonts w:ascii="Calibri" w:hAnsi="Calibri"/>
                <w:b/>
                <w:bCs/>
                <w:sz w:val="24"/>
                <w:szCs w:val="24"/>
              </w:rPr>
            </w:pPr>
            <w:r w:rsidRPr="00740471">
              <w:rPr>
                <w:rFonts w:ascii="Calibri" w:hAnsi="Calibri"/>
                <w:b/>
                <w:bCs/>
                <w:sz w:val="24"/>
                <w:szCs w:val="24"/>
              </w:rPr>
              <w:t>Hourly rate</w:t>
            </w:r>
          </w:p>
        </w:tc>
        <w:tc>
          <w:tcPr>
            <w:tcW w:w="2324" w:type="dxa"/>
          </w:tcPr>
          <w:p w14:paraId="19901B5E" w14:textId="02F6CC7E" w:rsidR="007526E2" w:rsidRPr="00740471" w:rsidRDefault="007526E2" w:rsidP="00151AA6">
            <w:pPr>
              <w:keepLines/>
              <w:rPr>
                <w:rFonts w:ascii="Calibri" w:hAnsi="Calibri"/>
                <w:b/>
                <w:bCs/>
                <w:sz w:val="24"/>
                <w:szCs w:val="24"/>
              </w:rPr>
            </w:pPr>
            <w:r w:rsidRPr="00740471">
              <w:rPr>
                <w:rFonts w:ascii="Calibri" w:hAnsi="Calibri"/>
                <w:b/>
                <w:bCs/>
                <w:sz w:val="24"/>
                <w:szCs w:val="24"/>
              </w:rPr>
              <w:t>£</w:t>
            </w:r>
            <w:r w:rsidR="008117CC">
              <w:rPr>
                <w:rFonts w:ascii="Calibri" w:hAnsi="Calibri"/>
                <w:b/>
                <w:bCs/>
                <w:sz w:val="24"/>
                <w:szCs w:val="24"/>
              </w:rPr>
              <w:t>9</w:t>
            </w:r>
          </w:p>
        </w:tc>
        <w:tc>
          <w:tcPr>
            <w:tcW w:w="2324" w:type="dxa"/>
          </w:tcPr>
          <w:p w14:paraId="48769A6C" w14:textId="1643CEA1" w:rsidR="007526E2" w:rsidRPr="00740471" w:rsidRDefault="007526E2" w:rsidP="00151AA6">
            <w:pPr>
              <w:keepLines/>
              <w:rPr>
                <w:rFonts w:ascii="Calibri" w:hAnsi="Calibri"/>
                <w:b/>
                <w:bCs/>
                <w:sz w:val="24"/>
                <w:szCs w:val="24"/>
              </w:rPr>
            </w:pPr>
            <w:r w:rsidRPr="00740471">
              <w:rPr>
                <w:rFonts w:ascii="Calibri" w:hAnsi="Calibri"/>
                <w:b/>
                <w:bCs/>
                <w:sz w:val="24"/>
                <w:szCs w:val="24"/>
              </w:rPr>
              <w:t>£</w:t>
            </w:r>
            <w:r>
              <w:rPr>
                <w:rFonts w:ascii="Calibri" w:hAnsi="Calibri"/>
                <w:b/>
                <w:bCs/>
                <w:sz w:val="24"/>
                <w:szCs w:val="24"/>
              </w:rPr>
              <w:t>8.</w:t>
            </w:r>
            <w:r w:rsidR="008117CC">
              <w:rPr>
                <w:rFonts w:ascii="Calibri" w:hAnsi="Calibri"/>
                <w:b/>
                <w:bCs/>
                <w:sz w:val="24"/>
                <w:szCs w:val="24"/>
              </w:rPr>
              <w:t>50</w:t>
            </w:r>
          </w:p>
        </w:tc>
        <w:tc>
          <w:tcPr>
            <w:tcW w:w="2324" w:type="dxa"/>
          </w:tcPr>
          <w:p w14:paraId="090F00B2" w14:textId="2D6AA10E" w:rsidR="007526E2" w:rsidRPr="00740471" w:rsidRDefault="007526E2" w:rsidP="00151AA6">
            <w:pPr>
              <w:keepLines/>
              <w:rPr>
                <w:rFonts w:ascii="Calibri" w:hAnsi="Calibri"/>
                <w:b/>
                <w:bCs/>
                <w:sz w:val="24"/>
                <w:szCs w:val="24"/>
              </w:rPr>
            </w:pPr>
            <w:r w:rsidRPr="00740471">
              <w:rPr>
                <w:rFonts w:ascii="Calibri" w:hAnsi="Calibri"/>
                <w:b/>
                <w:bCs/>
                <w:sz w:val="24"/>
                <w:szCs w:val="24"/>
              </w:rPr>
              <w:t>£</w:t>
            </w:r>
            <w:r w:rsidR="008117CC">
              <w:rPr>
                <w:rFonts w:ascii="Calibri" w:hAnsi="Calibri"/>
                <w:b/>
                <w:bCs/>
                <w:sz w:val="24"/>
                <w:szCs w:val="24"/>
              </w:rPr>
              <w:t>8</w:t>
            </w:r>
          </w:p>
        </w:tc>
      </w:tr>
      <w:tr w:rsidR="007526E2" w14:paraId="61AE6502" w14:textId="77777777" w:rsidTr="00151AA6">
        <w:trPr>
          <w:trHeight w:val="841"/>
        </w:trPr>
        <w:tc>
          <w:tcPr>
            <w:tcW w:w="2324" w:type="dxa"/>
          </w:tcPr>
          <w:p w14:paraId="02C2BB98" w14:textId="77777777" w:rsidR="007526E2" w:rsidRPr="00740471" w:rsidRDefault="007526E2" w:rsidP="00151AA6">
            <w:pPr>
              <w:keepLines/>
              <w:rPr>
                <w:rFonts w:ascii="Calibri" w:hAnsi="Calibri"/>
                <w:b/>
                <w:bCs/>
                <w:sz w:val="24"/>
                <w:szCs w:val="24"/>
              </w:rPr>
            </w:pPr>
            <w:r w:rsidRPr="00740471">
              <w:rPr>
                <w:rFonts w:ascii="Calibri" w:hAnsi="Calibri"/>
                <w:b/>
                <w:bCs/>
                <w:sz w:val="24"/>
                <w:szCs w:val="24"/>
              </w:rPr>
              <w:t>Late fee</w:t>
            </w:r>
          </w:p>
        </w:tc>
        <w:tc>
          <w:tcPr>
            <w:tcW w:w="2324" w:type="dxa"/>
          </w:tcPr>
          <w:p w14:paraId="03A37A2F" w14:textId="77777777" w:rsidR="007526E2" w:rsidRPr="00740471" w:rsidRDefault="007526E2" w:rsidP="00151AA6">
            <w:pPr>
              <w:keepLines/>
              <w:rPr>
                <w:rFonts w:ascii="Calibri" w:hAnsi="Calibri"/>
                <w:b/>
                <w:bCs/>
                <w:sz w:val="24"/>
                <w:szCs w:val="24"/>
              </w:rPr>
            </w:pPr>
            <w:r w:rsidRPr="00740471">
              <w:rPr>
                <w:rFonts w:ascii="Calibri" w:hAnsi="Calibri"/>
                <w:b/>
                <w:bCs/>
                <w:sz w:val="24"/>
                <w:szCs w:val="24"/>
              </w:rPr>
              <w:t>£20</w:t>
            </w:r>
          </w:p>
        </w:tc>
        <w:tc>
          <w:tcPr>
            <w:tcW w:w="2324" w:type="dxa"/>
          </w:tcPr>
          <w:p w14:paraId="319306E3" w14:textId="77777777" w:rsidR="007526E2" w:rsidRPr="00740471" w:rsidRDefault="007526E2" w:rsidP="00151AA6">
            <w:pPr>
              <w:keepLines/>
              <w:rPr>
                <w:rFonts w:ascii="Calibri" w:hAnsi="Calibri"/>
                <w:b/>
                <w:bCs/>
                <w:sz w:val="24"/>
                <w:szCs w:val="24"/>
              </w:rPr>
            </w:pPr>
            <w:r w:rsidRPr="00740471">
              <w:rPr>
                <w:rFonts w:ascii="Calibri" w:hAnsi="Calibri"/>
                <w:b/>
                <w:bCs/>
                <w:sz w:val="24"/>
                <w:szCs w:val="24"/>
              </w:rPr>
              <w:t>£20</w:t>
            </w:r>
          </w:p>
        </w:tc>
        <w:tc>
          <w:tcPr>
            <w:tcW w:w="2324" w:type="dxa"/>
          </w:tcPr>
          <w:p w14:paraId="707C0A92" w14:textId="77777777" w:rsidR="007526E2" w:rsidRPr="00740471" w:rsidRDefault="007526E2" w:rsidP="00151AA6">
            <w:pPr>
              <w:keepLines/>
              <w:rPr>
                <w:rFonts w:ascii="Calibri" w:hAnsi="Calibri"/>
                <w:b/>
                <w:bCs/>
                <w:sz w:val="24"/>
                <w:szCs w:val="24"/>
              </w:rPr>
            </w:pPr>
            <w:r w:rsidRPr="00740471">
              <w:rPr>
                <w:rFonts w:ascii="Calibri" w:hAnsi="Calibri"/>
                <w:b/>
                <w:bCs/>
                <w:sz w:val="24"/>
                <w:szCs w:val="24"/>
              </w:rPr>
              <w:t>£20</w:t>
            </w:r>
          </w:p>
        </w:tc>
      </w:tr>
    </w:tbl>
    <w:p w14:paraId="7A65D76A" w14:textId="77777777" w:rsidR="007526E2" w:rsidRPr="00E012DC" w:rsidRDefault="007526E2" w:rsidP="007526E2">
      <w:pPr>
        <w:keepLines/>
        <w:spacing w:after="0" w:line="240" w:lineRule="auto"/>
        <w:jc w:val="center"/>
        <w:rPr>
          <w:rFonts w:ascii="Calibri" w:eastAsia="Times New Roman" w:hAnsi="Calibri" w:cs="Times New Roman"/>
          <w:b/>
          <w:sz w:val="36"/>
          <w:szCs w:val="36"/>
          <w:u w:val="single"/>
        </w:rPr>
      </w:pPr>
    </w:p>
    <w:p w14:paraId="3005E79C" w14:textId="469840D1" w:rsidR="007526E2" w:rsidRPr="004778EE" w:rsidRDefault="007526E2" w:rsidP="007526E2">
      <w:pPr>
        <w:keepLines/>
        <w:spacing w:after="0" w:line="240" w:lineRule="auto"/>
        <w:rPr>
          <w:rFonts w:ascii="Calibri" w:eastAsia="Times New Roman" w:hAnsi="Calibri" w:cs="Times New Roman"/>
          <w:color w:val="FF0000"/>
          <w:sz w:val="24"/>
          <w:szCs w:val="24"/>
        </w:rPr>
      </w:pPr>
      <w:r w:rsidRPr="004778EE">
        <w:rPr>
          <w:rFonts w:ascii="Calibri" w:eastAsia="Times New Roman" w:hAnsi="Calibri" w:cs="Times New Roman"/>
          <w:color w:val="FF0000"/>
          <w:sz w:val="24"/>
          <w:szCs w:val="24"/>
        </w:rPr>
        <w:t>Additionally, to this we offer</w:t>
      </w:r>
      <w:r>
        <w:rPr>
          <w:rFonts w:ascii="Calibri" w:eastAsia="Times New Roman" w:hAnsi="Calibri" w:cs="Times New Roman"/>
          <w:color w:val="FF0000"/>
          <w:sz w:val="24"/>
          <w:szCs w:val="24"/>
        </w:rPr>
        <w:t xml:space="preserve"> a</w:t>
      </w:r>
      <w:r w:rsidRPr="004778EE">
        <w:rPr>
          <w:rFonts w:ascii="Calibri" w:eastAsia="Times New Roman" w:hAnsi="Calibri" w:cs="Times New Roman"/>
          <w:color w:val="FF0000"/>
          <w:sz w:val="24"/>
          <w:szCs w:val="24"/>
        </w:rPr>
        <w:t xml:space="preserve"> 1</w:t>
      </w:r>
      <w:r>
        <w:rPr>
          <w:rFonts w:ascii="Calibri" w:eastAsia="Times New Roman" w:hAnsi="Calibri" w:cs="Times New Roman"/>
          <w:color w:val="FF0000"/>
          <w:sz w:val="24"/>
          <w:szCs w:val="24"/>
        </w:rPr>
        <w:t>0</w:t>
      </w:r>
      <w:r w:rsidRPr="004778EE">
        <w:rPr>
          <w:rFonts w:ascii="Calibri" w:eastAsia="Times New Roman" w:hAnsi="Calibri" w:cs="Times New Roman"/>
          <w:color w:val="FF0000"/>
          <w:sz w:val="24"/>
          <w:szCs w:val="24"/>
        </w:rPr>
        <w:t xml:space="preserve">% </w:t>
      </w:r>
      <w:r>
        <w:rPr>
          <w:rFonts w:ascii="Calibri" w:eastAsia="Times New Roman" w:hAnsi="Calibri" w:cs="Times New Roman"/>
          <w:color w:val="FF0000"/>
          <w:sz w:val="24"/>
          <w:szCs w:val="24"/>
        </w:rPr>
        <w:t xml:space="preserve">discount </w:t>
      </w:r>
      <w:r w:rsidRPr="004778EE">
        <w:rPr>
          <w:rFonts w:ascii="Calibri" w:eastAsia="Times New Roman" w:hAnsi="Calibri" w:cs="Times New Roman"/>
          <w:color w:val="FF0000"/>
          <w:sz w:val="24"/>
          <w:szCs w:val="24"/>
        </w:rPr>
        <w:t xml:space="preserve">for Twins </w:t>
      </w:r>
    </w:p>
    <w:p w14:paraId="6D9306F0" w14:textId="77777777" w:rsidR="007526E2" w:rsidRPr="004778EE" w:rsidRDefault="007526E2" w:rsidP="007526E2">
      <w:pPr>
        <w:keepLines/>
        <w:spacing w:after="0" w:line="240" w:lineRule="auto"/>
        <w:rPr>
          <w:rFonts w:ascii="Calibri" w:eastAsia="Times New Roman" w:hAnsi="Calibri" w:cs="Times New Roman"/>
          <w:color w:val="FF0000"/>
          <w:sz w:val="24"/>
          <w:szCs w:val="24"/>
        </w:rPr>
      </w:pPr>
    </w:p>
    <w:p w14:paraId="3C7E1907" w14:textId="27BDED2B" w:rsidR="007526E2" w:rsidRPr="006236EA" w:rsidRDefault="007526E2" w:rsidP="007526E2">
      <w:pPr>
        <w:keepLines/>
        <w:spacing w:after="0" w:line="240" w:lineRule="auto"/>
        <w:rPr>
          <w:rFonts w:ascii="Calibri" w:eastAsia="Times New Roman" w:hAnsi="Calibri" w:cs="Times New Roman"/>
          <w:sz w:val="28"/>
          <w:szCs w:val="28"/>
        </w:rPr>
      </w:pPr>
      <w:r w:rsidRPr="006236EA">
        <w:rPr>
          <w:rFonts w:ascii="Calibri" w:eastAsia="Times New Roman" w:hAnsi="Calibri" w:cs="Times New Roman"/>
          <w:sz w:val="28"/>
          <w:szCs w:val="28"/>
        </w:rPr>
        <w:t xml:space="preserve">This fee increase will be implemented from </w:t>
      </w:r>
      <w:r w:rsidRPr="006236EA">
        <w:rPr>
          <w:rFonts w:ascii="Calibri" w:eastAsia="Times New Roman" w:hAnsi="Calibri" w:cs="Times New Roman"/>
          <w:b/>
          <w:sz w:val="28"/>
          <w:szCs w:val="28"/>
        </w:rPr>
        <w:t>01/04/202</w:t>
      </w:r>
      <w:r w:rsidR="008117CC">
        <w:rPr>
          <w:rFonts w:ascii="Calibri" w:eastAsia="Times New Roman" w:hAnsi="Calibri" w:cs="Times New Roman"/>
          <w:b/>
          <w:sz w:val="28"/>
          <w:szCs w:val="28"/>
        </w:rPr>
        <w:t>6</w:t>
      </w:r>
    </w:p>
    <w:p w14:paraId="4C92F47D" w14:textId="77777777" w:rsidR="007526E2" w:rsidRPr="004778EE" w:rsidRDefault="007526E2" w:rsidP="007526E2">
      <w:pPr>
        <w:keepLines/>
        <w:spacing w:after="0" w:line="240" w:lineRule="auto"/>
        <w:rPr>
          <w:rFonts w:ascii="Calibri" w:eastAsia="Times New Roman" w:hAnsi="Calibri" w:cs="Times New Roman"/>
        </w:rPr>
      </w:pPr>
    </w:p>
    <w:p w14:paraId="3CBA3C2C" w14:textId="77777777" w:rsidR="007526E2" w:rsidRDefault="007526E2" w:rsidP="007526E2"/>
    <w:p w14:paraId="4FA338E1" w14:textId="77777777" w:rsidR="007526E2" w:rsidRDefault="007526E2" w:rsidP="007526E2">
      <w:pPr>
        <w:spacing w:after="0"/>
        <w:jc w:val="center"/>
        <w:rPr>
          <w:rFonts w:ascii="Calibri" w:hAnsi="Calibri"/>
          <w:b/>
          <w:sz w:val="28"/>
          <w:szCs w:val="28"/>
          <w:u w:val="single"/>
        </w:rPr>
      </w:pPr>
    </w:p>
    <w:p w14:paraId="43C9E1DC" w14:textId="77777777" w:rsidR="007526E2" w:rsidRPr="004114D4" w:rsidRDefault="007526E2" w:rsidP="007526E2">
      <w:pPr>
        <w:keepLines/>
        <w:spacing w:after="0" w:line="240" w:lineRule="auto"/>
        <w:jc w:val="right"/>
        <w:rPr>
          <w:rFonts w:ascii="Calibri" w:eastAsia="Times New Roman" w:hAnsi="Calibri" w:cs="Times New Roman"/>
          <w:sz w:val="24"/>
          <w:szCs w:val="24"/>
        </w:rPr>
      </w:pPr>
    </w:p>
    <w:p w14:paraId="32EA91C2" w14:textId="77777777" w:rsidR="007526E2" w:rsidRDefault="007526E2" w:rsidP="007526E2">
      <w:pPr>
        <w:spacing w:after="0"/>
        <w:jc w:val="center"/>
        <w:rPr>
          <w:rFonts w:ascii="Calibri" w:hAnsi="Calibri"/>
          <w:szCs w:val="24"/>
        </w:rPr>
      </w:pPr>
      <w:r>
        <w:rPr>
          <w:noProof/>
          <w:lang w:eastAsia="en-GB"/>
        </w:rPr>
        <w:drawing>
          <wp:inline distT="0" distB="0" distL="0" distR="0" wp14:anchorId="6BE69B56" wp14:editId="08E2269C">
            <wp:extent cx="1887972" cy="1847458"/>
            <wp:effectExtent l="0" t="0" r="0" b="635"/>
            <wp:docPr id="30" name="Picture 30" descr="00448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0044871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03109" cy="1862270"/>
                    </a:xfrm>
                    <a:prstGeom prst="rect">
                      <a:avLst/>
                    </a:prstGeom>
                    <a:noFill/>
                    <a:ln>
                      <a:noFill/>
                    </a:ln>
                  </pic:spPr>
                </pic:pic>
              </a:graphicData>
            </a:graphic>
          </wp:inline>
        </w:drawing>
      </w:r>
    </w:p>
    <w:p w14:paraId="7DBFA7C6" w14:textId="77777777" w:rsidR="00ED44FF" w:rsidRDefault="00ED44FF"/>
    <w:sectPr w:rsidR="00ED44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6E2"/>
    <w:rsid w:val="007526E2"/>
    <w:rsid w:val="008117CC"/>
    <w:rsid w:val="008508EB"/>
    <w:rsid w:val="00BB5B26"/>
    <w:rsid w:val="00ED44FF"/>
    <w:rsid w:val="00F306FB"/>
    <w:rsid w:val="00FA03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843D8"/>
  <w15:chartTrackingRefBased/>
  <w15:docId w15:val="{BFD98281-2B59-446A-9150-7E0AF62AC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6E2"/>
    <w:pPr>
      <w:spacing w:after="200" w:line="276" w:lineRule="auto"/>
    </w:pPr>
    <w:rPr>
      <w:kern w:val="0"/>
      <w14:ligatures w14:val="none"/>
    </w:rPr>
  </w:style>
  <w:style w:type="paragraph" w:styleId="Heading1">
    <w:name w:val="heading 1"/>
    <w:basedOn w:val="Normal"/>
    <w:next w:val="Normal"/>
    <w:link w:val="Heading1Char"/>
    <w:uiPriority w:val="9"/>
    <w:qFormat/>
    <w:rsid w:val="007526E2"/>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526E2"/>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526E2"/>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526E2"/>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7526E2"/>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7526E2"/>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526E2"/>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526E2"/>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526E2"/>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26E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526E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526E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526E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526E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526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26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26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26E2"/>
    <w:rPr>
      <w:rFonts w:eastAsiaTheme="majorEastAsia" w:cstheme="majorBidi"/>
      <w:color w:val="272727" w:themeColor="text1" w:themeTint="D8"/>
    </w:rPr>
  </w:style>
  <w:style w:type="paragraph" w:styleId="Title">
    <w:name w:val="Title"/>
    <w:basedOn w:val="Normal"/>
    <w:next w:val="Normal"/>
    <w:link w:val="TitleChar"/>
    <w:uiPriority w:val="10"/>
    <w:qFormat/>
    <w:rsid w:val="007526E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526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26E2"/>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526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26E2"/>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7526E2"/>
    <w:rPr>
      <w:i/>
      <w:iCs/>
      <w:color w:val="404040" w:themeColor="text1" w:themeTint="BF"/>
    </w:rPr>
  </w:style>
  <w:style w:type="paragraph" w:styleId="ListParagraph">
    <w:name w:val="List Paragraph"/>
    <w:basedOn w:val="Normal"/>
    <w:uiPriority w:val="34"/>
    <w:qFormat/>
    <w:rsid w:val="007526E2"/>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7526E2"/>
    <w:rPr>
      <w:i/>
      <w:iCs/>
      <w:color w:val="2F5496" w:themeColor="accent1" w:themeShade="BF"/>
    </w:rPr>
  </w:style>
  <w:style w:type="paragraph" w:styleId="IntenseQuote">
    <w:name w:val="Intense Quote"/>
    <w:basedOn w:val="Normal"/>
    <w:next w:val="Normal"/>
    <w:link w:val="IntenseQuoteChar"/>
    <w:uiPriority w:val="30"/>
    <w:qFormat/>
    <w:rsid w:val="007526E2"/>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7526E2"/>
    <w:rPr>
      <w:i/>
      <w:iCs/>
      <w:color w:val="2F5496" w:themeColor="accent1" w:themeShade="BF"/>
    </w:rPr>
  </w:style>
  <w:style w:type="character" w:styleId="IntenseReference">
    <w:name w:val="Intense Reference"/>
    <w:basedOn w:val="DefaultParagraphFont"/>
    <w:uiPriority w:val="32"/>
    <w:qFormat/>
    <w:rsid w:val="007526E2"/>
    <w:rPr>
      <w:b/>
      <w:bCs/>
      <w:smallCaps/>
      <w:color w:val="2F5496" w:themeColor="accent1" w:themeShade="BF"/>
      <w:spacing w:val="5"/>
    </w:rPr>
  </w:style>
  <w:style w:type="table" w:styleId="TableGrid">
    <w:name w:val="Table Grid"/>
    <w:basedOn w:val="TableNormal"/>
    <w:uiPriority w:val="39"/>
    <w:rsid w:val="007526E2"/>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Woodman</dc:creator>
  <cp:keywords/>
  <dc:description/>
  <cp:lastModifiedBy>Debbie Woodman</cp:lastModifiedBy>
  <cp:revision>2</cp:revision>
  <dcterms:created xsi:type="dcterms:W3CDTF">2025-05-09T08:02:00Z</dcterms:created>
  <dcterms:modified xsi:type="dcterms:W3CDTF">2026-02-12T15:42:00Z</dcterms:modified>
</cp:coreProperties>
</file>